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1" w:rsidRPr="002F2FA0" w:rsidRDefault="00945C5F" w:rsidP="002F2FA0">
      <w:pPr>
        <w:spacing w:after="0"/>
        <w:jc w:val="right"/>
        <w:rPr>
          <w:b/>
          <w:color w:val="FF0000"/>
          <w:sz w:val="36"/>
          <w:szCs w:val="36"/>
        </w:rPr>
      </w:pPr>
      <w:r w:rsidRPr="002F2FA0">
        <w:rPr>
          <w:b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-126061</wp:posOffset>
            </wp:positionH>
            <wp:positionV relativeFrom="paragraph">
              <wp:posOffset>-508883</wp:posOffset>
            </wp:positionV>
            <wp:extent cx="1001588" cy="1304014"/>
            <wp:effectExtent l="19050" t="0" r="8062" b="0"/>
            <wp:wrapNone/>
            <wp:docPr id="1" name="Image 1" descr="http://img.over-blog-kiwi.com/0/56/00/00/20151209/ob_526f6a_ob-25e0a6-logo-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56/00/00/20151209/ob_526f6a_ob-25e0a6-logo-cg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8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FA0">
        <w:rPr>
          <w:b/>
          <w:color w:val="FF0000"/>
          <w:sz w:val="36"/>
          <w:szCs w:val="36"/>
        </w:rPr>
        <w:t>Coordination des syndicats CGT du Groupe TOTAL</w:t>
      </w:r>
    </w:p>
    <w:p w:rsidR="00EA0191" w:rsidRDefault="002F2FA0" w:rsidP="002F2FA0">
      <w:pPr>
        <w:spacing w:after="0"/>
        <w:ind w:left="778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EA0191">
        <w:rPr>
          <w:b/>
          <w:sz w:val="16"/>
          <w:szCs w:val="16"/>
        </w:rPr>
        <w:t>La D</w:t>
      </w:r>
      <w:r w:rsidR="00FE6C4D">
        <w:rPr>
          <w:b/>
          <w:sz w:val="16"/>
          <w:szCs w:val="16"/>
        </w:rPr>
        <w:t xml:space="preserve">éfense, le </w:t>
      </w:r>
      <w:r w:rsidR="00B11F66">
        <w:rPr>
          <w:b/>
          <w:sz w:val="16"/>
          <w:szCs w:val="16"/>
        </w:rPr>
        <w:t>16</w:t>
      </w:r>
      <w:r w:rsidR="00256C25">
        <w:rPr>
          <w:b/>
          <w:sz w:val="16"/>
          <w:szCs w:val="16"/>
        </w:rPr>
        <w:t xml:space="preserve"> juin</w:t>
      </w:r>
      <w:r w:rsidR="00FE6C4D">
        <w:rPr>
          <w:b/>
          <w:sz w:val="16"/>
          <w:szCs w:val="16"/>
        </w:rPr>
        <w:t xml:space="preserve"> </w:t>
      </w:r>
      <w:r w:rsidR="00EA0191" w:rsidRPr="00EA0191">
        <w:rPr>
          <w:b/>
          <w:sz w:val="16"/>
          <w:szCs w:val="16"/>
        </w:rPr>
        <w:t>2016</w:t>
      </w:r>
    </w:p>
    <w:p w:rsidR="002F2FA0" w:rsidRPr="00EA0191" w:rsidRDefault="002F2FA0" w:rsidP="00EC4E67">
      <w:pPr>
        <w:spacing w:after="0"/>
        <w:ind w:left="7788"/>
        <w:rPr>
          <w:b/>
          <w:sz w:val="16"/>
          <w:szCs w:val="16"/>
        </w:rPr>
      </w:pPr>
    </w:p>
    <w:p w:rsidR="001A226A" w:rsidRPr="002F2FA0" w:rsidRDefault="002F2FA0" w:rsidP="002F2FA0">
      <w:pPr>
        <w:spacing w:after="0" w:line="240" w:lineRule="auto"/>
        <w:ind w:firstLine="708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484726</wp:posOffset>
            </wp:positionH>
            <wp:positionV relativeFrom="paragraph">
              <wp:posOffset>268218</wp:posOffset>
            </wp:positionV>
            <wp:extent cx="465979" cy="389614"/>
            <wp:effectExtent l="19050" t="0" r="0" b="0"/>
            <wp:wrapNone/>
            <wp:docPr id="5" name="Image 5" descr="C:\Users\dominique.teyssieres\Desktop\Logo FNIC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.teyssieres\Desktop\Logo FNIC 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3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E67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874395</wp:posOffset>
            </wp:positionV>
            <wp:extent cx="560705" cy="365760"/>
            <wp:effectExtent l="19050" t="0" r="0" b="0"/>
            <wp:wrapNone/>
            <wp:docPr id="3" name="Image 1" descr="W:\Entity\Holding\UES AMONT\CGT\10-Syndicat\01-Secretariat\01-Bureau-Secretariat\Trombinoscope-Logos-Photos\Logo_Total_UGICT_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ntity\Holding\UES AMONT\CGT\10-Syndicat\01-Secretariat\01-Bureau-Secretariat\Trombinoscope-Logos-Photos\Logo_Total_UGICT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BD">
        <w:rPr>
          <w:b/>
          <w:noProof/>
          <w:sz w:val="52"/>
          <w:szCs w:val="52"/>
          <w:lang w:eastAsia="fr-FR"/>
        </w:rPr>
        <w:t xml:space="preserve">   </w:t>
      </w:r>
      <w:r w:rsidR="00B11F66" w:rsidRPr="002F2FA0">
        <w:rPr>
          <w:b/>
          <w:noProof/>
          <w:sz w:val="36"/>
          <w:szCs w:val="36"/>
          <w:lang w:eastAsia="fr-FR"/>
        </w:rPr>
        <w:t>REORGANISATION « ONE TOTAL »</w:t>
      </w:r>
    </w:p>
    <w:p w:rsidR="002F2FA0" w:rsidRPr="002F2FA0" w:rsidRDefault="002F2FA0" w:rsidP="002F2FA0">
      <w:pPr>
        <w:spacing w:after="0" w:line="240" w:lineRule="auto"/>
        <w:ind w:firstLine="708"/>
        <w:jc w:val="center"/>
        <w:rPr>
          <w:b/>
          <w:noProof/>
          <w:sz w:val="24"/>
          <w:szCs w:val="24"/>
          <w:lang w:eastAsia="fr-FR"/>
        </w:rPr>
      </w:pPr>
    </w:p>
    <w:p w:rsidR="00B5089C" w:rsidRPr="00EC4E67" w:rsidRDefault="00B11F66" w:rsidP="002F2FA0">
      <w:pPr>
        <w:spacing w:after="0" w:line="240" w:lineRule="auto"/>
        <w:ind w:firstLine="708"/>
        <w:jc w:val="center"/>
        <w:rPr>
          <w:b/>
          <w:sz w:val="44"/>
          <w:szCs w:val="44"/>
        </w:rPr>
      </w:pPr>
      <w:r w:rsidRPr="00EC4E67">
        <w:rPr>
          <w:b/>
          <w:noProof/>
          <w:sz w:val="44"/>
          <w:szCs w:val="44"/>
          <w:lang w:eastAsia="fr-FR"/>
        </w:rPr>
        <w:t>LES EXPERTS NOUS DONNENT RAISON</w:t>
      </w:r>
      <w:r w:rsidR="00582C3A" w:rsidRPr="00EC4E67">
        <w:rPr>
          <w:b/>
          <w:sz w:val="44"/>
          <w:szCs w:val="44"/>
        </w:rPr>
        <w:t> !</w:t>
      </w:r>
    </w:p>
    <w:p w:rsidR="00EB5039" w:rsidRPr="00EC4E67" w:rsidRDefault="00B11F66" w:rsidP="00B11F66">
      <w:pPr>
        <w:ind w:firstLine="708"/>
        <w:jc w:val="center"/>
        <w:rPr>
          <w:b/>
          <w:noProof/>
          <w:sz w:val="44"/>
          <w:szCs w:val="44"/>
          <w:lang w:eastAsia="fr-FR"/>
        </w:rPr>
      </w:pPr>
      <w:r w:rsidRPr="00EC4E67">
        <w:rPr>
          <w:b/>
          <w:noProof/>
          <w:sz w:val="44"/>
          <w:szCs w:val="44"/>
          <w:lang w:eastAsia="fr-FR"/>
        </w:rPr>
        <w:t>LA DIRECTION NE DEMENT PAS !</w:t>
      </w:r>
    </w:p>
    <w:p w:rsidR="00FE6C4D" w:rsidRPr="002F2FA0" w:rsidRDefault="00C0052F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rapports d’expertise</w:t>
      </w:r>
      <w:r w:rsidR="00B11F66" w:rsidRPr="002F2FA0">
        <w:rPr>
          <w:rFonts w:cstheme="minorHAnsi"/>
          <w:bCs/>
          <w:sz w:val="24"/>
          <w:szCs w:val="24"/>
        </w:rPr>
        <w:t xml:space="preserve"> portant sur le dossier de réorganisation « ONE TOTAL » ont été présentés aux représentants du personnel du Comité Européen, des CCE et des CHSCT  des Ets de Pau et Paris Coupole.</w:t>
      </w:r>
      <w:r w:rsidR="002F2FA0" w:rsidRPr="002F2FA0">
        <w:rPr>
          <w:rFonts w:cstheme="minorHAnsi"/>
          <w:bCs/>
          <w:sz w:val="24"/>
          <w:szCs w:val="24"/>
        </w:rPr>
        <w:t xml:space="preserve"> </w:t>
      </w:r>
      <w:r w:rsidR="00B11F66" w:rsidRPr="002F2FA0">
        <w:rPr>
          <w:rFonts w:cstheme="minorHAnsi"/>
          <w:bCs/>
          <w:sz w:val="24"/>
          <w:szCs w:val="24"/>
        </w:rPr>
        <w:t>Il ressort</w:t>
      </w:r>
      <w:r w:rsidR="00691FC9" w:rsidRPr="002F2FA0">
        <w:rPr>
          <w:rFonts w:cstheme="minorHAnsi"/>
          <w:bCs/>
          <w:sz w:val="24"/>
          <w:szCs w:val="24"/>
        </w:rPr>
        <w:t xml:space="preserve"> de ces rapports que c’est bien la mise en place des filiales </w:t>
      </w:r>
      <w:proofErr w:type="spellStart"/>
      <w:r w:rsidR="00691FC9" w:rsidRPr="002F2FA0">
        <w:rPr>
          <w:rFonts w:cstheme="minorHAnsi"/>
          <w:bCs/>
          <w:sz w:val="24"/>
          <w:szCs w:val="24"/>
        </w:rPr>
        <w:t>TG</w:t>
      </w:r>
      <w:r>
        <w:rPr>
          <w:rFonts w:cstheme="minorHAnsi"/>
          <w:bCs/>
          <w:sz w:val="24"/>
          <w:szCs w:val="24"/>
        </w:rPr>
        <w:t>x</w:t>
      </w:r>
      <w:proofErr w:type="spellEnd"/>
      <w:r w:rsidR="00691FC9" w:rsidRPr="002F2FA0">
        <w:rPr>
          <w:rFonts w:cstheme="minorHAnsi"/>
          <w:bCs/>
          <w:sz w:val="24"/>
          <w:szCs w:val="24"/>
        </w:rPr>
        <w:t xml:space="preserve"> qui pose problème.</w:t>
      </w:r>
    </w:p>
    <w:p w:rsidR="00B11F66" w:rsidRPr="002F2FA0" w:rsidRDefault="00B11F66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EB5039" w:rsidRPr="002F2FA0" w:rsidRDefault="00B11F66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2FA0">
        <w:rPr>
          <w:rFonts w:cstheme="minorHAnsi"/>
          <w:b/>
          <w:bCs/>
          <w:sz w:val="24"/>
          <w:szCs w:val="24"/>
        </w:rPr>
        <w:t>Toutes les analyses convergent :</w:t>
      </w:r>
    </w:p>
    <w:p w:rsidR="00EB5039" w:rsidRPr="002F2FA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B5039" w:rsidRPr="002F2FA0" w:rsidRDefault="00B11F66" w:rsidP="005436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2FA0">
        <w:rPr>
          <w:rFonts w:cstheme="minorHAnsi"/>
          <w:b/>
          <w:bCs/>
          <w:sz w:val="24"/>
          <w:szCs w:val="24"/>
        </w:rPr>
        <w:t>Le dossier de la direction est très incomplet</w:t>
      </w:r>
    </w:p>
    <w:p w:rsidR="00FE6C4D" w:rsidRPr="002F2FA0" w:rsidRDefault="00B11F66" w:rsidP="005436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2FA0">
        <w:rPr>
          <w:rFonts w:cstheme="minorHAnsi"/>
          <w:b/>
          <w:bCs/>
          <w:sz w:val="24"/>
          <w:szCs w:val="24"/>
        </w:rPr>
        <w:t xml:space="preserve">Les réorganisations </w:t>
      </w:r>
      <w:r w:rsidR="00EC4E67" w:rsidRPr="002F2FA0">
        <w:rPr>
          <w:rFonts w:cstheme="minorHAnsi"/>
          <w:b/>
          <w:bCs/>
          <w:sz w:val="24"/>
          <w:szCs w:val="24"/>
        </w:rPr>
        <w:t>au sein d</w:t>
      </w:r>
      <w:r w:rsidRPr="002F2FA0">
        <w:rPr>
          <w:rFonts w:cstheme="minorHAnsi"/>
          <w:b/>
          <w:bCs/>
          <w:sz w:val="24"/>
          <w:szCs w:val="24"/>
        </w:rPr>
        <w:t xml:space="preserve">es filiales </w:t>
      </w:r>
      <w:proofErr w:type="spellStart"/>
      <w:r w:rsidRPr="002F2FA0">
        <w:rPr>
          <w:rFonts w:cstheme="minorHAnsi"/>
          <w:b/>
          <w:bCs/>
          <w:sz w:val="24"/>
          <w:szCs w:val="24"/>
        </w:rPr>
        <w:t>TGx</w:t>
      </w:r>
      <w:proofErr w:type="spellEnd"/>
      <w:r w:rsidRPr="002F2FA0">
        <w:rPr>
          <w:rFonts w:cstheme="minorHAnsi"/>
          <w:b/>
          <w:bCs/>
          <w:sz w:val="24"/>
          <w:szCs w:val="24"/>
        </w:rPr>
        <w:t xml:space="preserve"> vont intervenir après le transfert des salariés </w:t>
      </w:r>
    </w:p>
    <w:p w:rsidR="00B11F66" w:rsidRPr="002F2FA0" w:rsidRDefault="00B11F66" w:rsidP="005436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2FA0">
        <w:rPr>
          <w:rFonts w:cstheme="minorHAnsi"/>
          <w:b/>
          <w:bCs/>
          <w:sz w:val="24"/>
          <w:szCs w:val="24"/>
        </w:rPr>
        <w:t>Ces réorganisations amèneront forcément à des suppressions de postes</w:t>
      </w:r>
    </w:p>
    <w:p w:rsidR="00B11F66" w:rsidRPr="002F2FA0" w:rsidRDefault="00B11F66" w:rsidP="005436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2FA0">
        <w:rPr>
          <w:rFonts w:cstheme="minorHAnsi"/>
          <w:b/>
          <w:bCs/>
          <w:sz w:val="24"/>
          <w:szCs w:val="24"/>
        </w:rPr>
        <w:t xml:space="preserve">Certaines taches seront </w:t>
      </w:r>
      <w:r w:rsidR="00691FC9" w:rsidRPr="002F2FA0">
        <w:rPr>
          <w:rFonts w:cstheme="minorHAnsi"/>
          <w:b/>
          <w:bCs/>
          <w:sz w:val="24"/>
          <w:szCs w:val="24"/>
        </w:rPr>
        <w:t>sans aucun doute sous-traitées</w:t>
      </w:r>
    </w:p>
    <w:p w:rsidR="0054361C" w:rsidRPr="002F2FA0" w:rsidRDefault="0054361C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F179EC" w:rsidRPr="002F2FA0" w:rsidRDefault="00691FC9" w:rsidP="00691F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F2FA0">
        <w:rPr>
          <w:rFonts w:cstheme="minorHAnsi"/>
          <w:b/>
          <w:bCs/>
          <w:sz w:val="28"/>
          <w:szCs w:val="28"/>
        </w:rPr>
        <w:t>Le démantèlement et la délocalisation de nos fonctions support sont en marche !!</w:t>
      </w:r>
    </w:p>
    <w:p w:rsidR="0054361C" w:rsidRPr="002F2FA0" w:rsidRDefault="0054361C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F74821" w:rsidRPr="002F2FA0" w:rsidRDefault="00691FC9" w:rsidP="0054361C">
      <w:pPr>
        <w:pStyle w:val="Default"/>
        <w:jc w:val="both"/>
        <w:rPr>
          <w:rFonts w:asciiTheme="minorHAnsi" w:hAnsiTheme="minorHAnsi" w:cstheme="minorHAnsi"/>
        </w:rPr>
      </w:pPr>
      <w:r w:rsidRPr="002F2FA0">
        <w:rPr>
          <w:rFonts w:asciiTheme="minorHAnsi" w:hAnsiTheme="minorHAnsi" w:cstheme="minorHAnsi"/>
        </w:rPr>
        <w:t>Les experts ont effectivement mis en évidence que tous les projets de « Centre de services Partagés » mis en place dans d’autres entreprises</w:t>
      </w:r>
      <w:r w:rsidR="008B45BD" w:rsidRPr="002F2FA0">
        <w:rPr>
          <w:rFonts w:asciiTheme="minorHAnsi" w:hAnsiTheme="minorHAnsi" w:cstheme="minorHAnsi"/>
        </w:rPr>
        <w:t>,</w:t>
      </w:r>
      <w:r w:rsidRPr="002F2FA0">
        <w:rPr>
          <w:rFonts w:asciiTheme="minorHAnsi" w:hAnsiTheme="minorHAnsi" w:cstheme="minorHAnsi"/>
        </w:rPr>
        <w:t xml:space="preserve"> ont </w:t>
      </w:r>
      <w:proofErr w:type="gramStart"/>
      <w:r w:rsidR="00C0052F">
        <w:rPr>
          <w:rFonts w:asciiTheme="minorHAnsi" w:hAnsiTheme="minorHAnsi" w:cstheme="minorHAnsi"/>
        </w:rPr>
        <w:t>amené</w:t>
      </w:r>
      <w:proofErr w:type="gramEnd"/>
      <w:r w:rsidRPr="002F2FA0">
        <w:rPr>
          <w:rFonts w:asciiTheme="minorHAnsi" w:hAnsiTheme="minorHAnsi" w:cstheme="minorHAnsi"/>
        </w:rPr>
        <w:t xml:space="preserve"> à des suppressions de poste. </w:t>
      </w:r>
      <w:r w:rsidR="008B45BD" w:rsidRPr="002F2FA0">
        <w:rPr>
          <w:rFonts w:asciiTheme="minorHAnsi" w:hAnsiTheme="minorHAnsi" w:cstheme="minorHAnsi"/>
        </w:rPr>
        <w:t>On peut</w:t>
      </w:r>
      <w:r w:rsidRPr="002F2FA0">
        <w:rPr>
          <w:rFonts w:asciiTheme="minorHAnsi" w:hAnsiTheme="minorHAnsi" w:cstheme="minorHAnsi"/>
        </w:rPr>
        <w:t xml:space="preserve"> également </w:t>
      </w:r>
      <w:r w:rsidR="008B45BD" w:rsidRPr="002F2FA0">
        <w:rPr>
          <w:rFonts w:asciiTheme="minorHAnsi" w:hAnsiTheme="minorHAnsi" w:cstheme="minorHAnsi"/>
        </w:rPr>
        <w:t xml:space="preserve">constater </w:t>
      </w:r>
      <w:r w:rsidRPr="002F2FA0">
        <w:rPr>
          <w:rFonts w:asciiTheme="minorHAnsi" w:hAnsiTheme="minorHAnsi" w:cstheme="minorHAnsi"/>
        </w:rPr>
        <w:t xml:space="preserve">que tous ces centres ont été partiellement ou complètement délocalisés dans des pays </w:t>
      </w:r>
      <w:r w:rsidR="008B45BD" w:rsidRPr="002F2FA0">
        <w:rPr>
          <w:rFonts w:asciiTheme="minorHAnsi" w:hAnsiTheme="minorHAnsi" w:cstheme="minorHAnsi"/>
        </w:rPr>
        <w:t>où</w:t>
      </w:r>
      <w:r w:rsidRPr="002F2FA0">
        <w:rPr>
          <w:rFonts w:asciiTheme="minorHAnsi" w:hAnsiTheme="minorHAnsi" w:cstheme="minorHAnsi"/>
        </w:rPr>
        <w:t xml:space="preserve"> les salaires sont faibles.</w:t>
      </w:r>
    </w:p>
    <w:p w:rsidR="0054361C" w:rsidRPr="002F2FA0" w:rsidRDefault="0054361C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9C503E" w:rsidRPr="002F2FA0" w:rsidRDefault="00691FC9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2FA0">
        <w:rPr>
          <w:rFonts w:cstheme="minorHAnsi"/>
          <w:bCs/>
          <w:sz w:val="24"/>
          <w:szCs w:val="24"/>
        </w:rPr>
        <w:t>D’ailleurs la direction, qui répète en boucle que le projet est « garanti sans externalisation » ne s’</w:t>
      </w:r>
      <w:r w:rsidR="008B45BD" w:rsidRPr="002F2FA0">
        <w:rPr>
          <w:rFonts w:cstheme="minorHAnsi"/>
          <w:bCs/>
          <w:sz w:val="24"/>
          <w:szCs w:val="24"/>
        </w:rPr>
        <w:t>étend pas sur c</w:t>
      </w:r>
      <w:r w:rsidRPr="002F2FA0">
        <w:rPr>
          <w:rFonts w:cstheme="minorHAnsi"/>
          <w:bCs/>
          <w:sz w:val="24"/>
          <w:szCs w:val="24"/>
        </w:rPr>
        <w:t>es possibles délocalisations.</w:t>
      </w:r>
    </w:p>
    <w:p w:rsidR="00691FC9" w:rsidRPr="002F2FA0" w:rsidRDefault="00691FC9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691FC9" w:rsidRPr="002F2FA0" w:rsidRDefault="00691FC9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2FA0">
        <w:rPr>
          <w:rFonts w:cstheme="minorHAnsi"/>
          <w:bCs/>
          <w:sz w:val="24"/>
          <w:szCs w:val="24"/>
        </w:rPr>
        <w:t>L’autre grande problématique de ce dossier</w:t>
      </w:r>
      <w:r w:rsidR="008B45BD" w:rsidRPr="002F2FA0">
        <w:rPr>
          <w:rFonts w:cstheme="minorHAnsi"/>
          <w:bCs/>
          <w:sz w:val="24"/>
          <w:szCs w:val="24"/>
        </w:rPr>
        <w:t xml:space="preserve"> </w:t>
      </w:r>
      <w:r w:rsidRPr="002F2FA0">
        <w:rPr>
          <w:rFonts w:cstheme="minorHAnsi"/>
          <w:bCs/>
          <w:sz w:val="24"/>
          <w:szCs w:val="24"/>
        </w:rPr>
        <w:t>est cette volonté de faire disparaitre la notion de « </w:t>
      </w:r>
      <w:r w:rsidR="008B45BD" w:rsidRPr="002F2FA0">
        <w:rPr>
          <w:rFonts w:cstheme="minorHAnsi"/>
          <w:bCs/>
          <w:sz w:val="24"/>
          <w:szCs w:val="24"/>
        </w:rPr>
        <w:t xml:space="preserve">collectif </w:t>
      </w:r>
      <w:r w:rsidRPr="002F2FA0">
        <w:rPr>
          <w:rFonts w:cstheme="minorHAnsi"/>
          <w:bCs/>
          <w:sz w:val="24"/>
          <w:szCs w:val="24"/>
        </w:rPr>
        <w:t>de travail ». Nous devons tous devenir les clients ou les fournisseurs de quelqu’un !</w:t>
      </w:r>
    </w:p>
    <w:p w:rsidR="00691FC9" w:rsidRPr="002F2FA0" w:rsidRDefault="00691FC9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2FA0">
        <w:rPr>
          <w:rFonts w:cstheme="minorHAnsi"/>
          <w:bCs/>
          <w:sz w:val="24"/>
          <w:szCs w:val="24"/>
        </w:rPr>
        <w:t>Comment faire perdure</w:t>
      </w:r>
      <w:r w:rsidR="008B45BD" w:rsidRPr="002F2FA0">
        <w:rPr>
          <w:rFonts w:cstheme="minorHAnsi"/>
          <w:bCs/>
          <w:sz w:val="24"/>
          <w:szCs w:val="24"/>
        </w:rPr>
        <w:t>r</w:t>
      </w:r>
      <w:r w:rsidRPr="002F2FA0">
        <w:rPr>
          <w:rFonts w:cstheme="minorHAnsi"/>
          <w:bCs/>
          <w:sz w:val="24"/>
          <w:szCs w:val="24"/>
        </w:rPr>
        <w:t xml:space="preserve"> l’intérêt commun et faire croire à un « ONE TOTAL » si nous devons négocier en </w:t>
      </w:r>
      <w:r w:rsidR="008B45BD" w:rsidRPr="002F2FA0">
        <w:rPr>
          <w:rFonts w:cstheme="minorHAnsi"/>
          <w:bCs/>
          <w:sz w:val="24"/>
          <w:szCs w:val="24"/>
        </w:rPr>
        <w:t>permanence</w:t>
      </w:r>
      <w:r w:rsidRPr="002F2FA0">
        <w:rPr>
          <w:rFonts w:cstheme="minorHAnsi"/>
          <w:bCs/>
          <w:sz w:val="24"/>
          <w:szCs w:val="24"/>
        </w:rPr>
        <w:t xml:space="preserve"> en interne, le prix et les délais pour notre travail !?</w:t>
      </w:r>
    </w:p>
    <w:p w:rsidR="008B45BD" w:rsidRPr="002F2FA0" w:rsidRDefault="008B45BD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2FA0">
        <w:rPr>
          <w:rFonts w:cstheme="minorHAnsi"/>
          <w:bCs/>
          <w:sz w:val="24"/>
          <w:szCs w:val="24"/>
        </w:rPr>
        <w:t xml:space="preserve">Comment les branches, les directions, les services ne seront-ils pas tenter de mettre en « concurrence » les services des filiales </w:t>
      </w:r>
      <w:proofErr w:type="spellStart"/>
      <w:r w:rsidRPr="002F2FA0">
        <w:rPr>
          <w:rFonts w:cstheme="minorHAnsi"/>
          <w:bCs/>
          <w:sz w:val="24"/>
          <w:szCs w:val="24"/>
        </w:rPr>
        <w:t>TGx</w:t>
      </w:r>
      <w:proofErr w:type="spellEnd"/>
      <w:r w:rsidRPr="002F2FA0">
        <w:rPr>
          <w:rFonts w:cstheme="minorHAnsi"/>
          <w:bCs/>
          <w:sz w:val="24"/>
          <w:szCs w:val="24"/>
        </w:rPr>
        <w:t xml:space="preserve"> avec des sociétés extérieures ?</w:t>
      </w:r>
    </w:p>
    <w:p w:rsidR="008B45BD" w:rsidRPr="002F2FA0" w:rsidRDefault="008B45BD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2FA0">
        <w:rPr>
          <w:rFonts w:cstheme="minorHAnsi"/>
          <w:bCs/>
          <w:sz w:val="24"/>
          <w:szCs w:val="24"/>
        </w:rPr>
        <w:t xml:space="preserve">Ce n’est pas les « contrats » qui existeront entre les filiales </w:t>
      </w:r>
      <w:proofErr w:type="spellStart"/>
      <w:r w:rsidRPr="002F2FA0">
        <w:rPr>
          <w:rFonts w:cstheme="minorHAnsi"/>
          <w:bCs/>
          <w:sz w:val="24"/>
          <w:szCs w:val="24"/>
        </w:rPr>
        <w:t>TGx</w:t>
      </w:r>
      <w:proofErr w:type="spellEnd"/>
      <w:r w:rsidRPr="002F2FA0">
        <w:rPr>
          <w:rFonts w:cstheme="minorHAnsi"/>
          <w:bCs/>
          <w:sz w:val="24"/>
          <w:szCs w:val="24"/>
        </w:rPr>
        <w:t xml:space="preserve"> et les banches qui y feront quoi que ce soit. Il n’y a qu’à voir ou en sont les « relations » ente le raffinage et le marketing, 3 ans et demi après la séparation. Et est-ce bien l’actuel TGS (informatique) qui est le seul fournisseur des branches aujourd’hui sur les projets IT ?</w:t>
      </w:r>
    </w:p>
    <w:p w:rsidR="008B45BD" w:rsidRPr="002F2FA0" w:rsidRDefault="008B45BD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8B45BD" w:rsidRPr="002F2FA0" w:rsidRDefault="00EC4E67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2F2FA0">
        <w:rPr>
          <w:rFonts w:cstheme="minorHAnsi"/>
          <w:b/>
          <w:bCs/>
          <w:sz w:val="28"/>
          <w:szCs w:val="28"/>
        </w:rPr>
        <w:t>Cette proposition d’organisation des fonctions support est bien, à terme, génératrice de souffrance</w:t>
      </w:r>
      <w:r w:rsidR="001C123E">
        <w:rPr>
          <w:rFonts w:cstheme="minorHAnsi"/>
          <w:b/>
          <w:bCs/>
          <w:sz w:val="28"/>
          <w:szCs w:val="28"/>
        </w:rPr>
        <w:t>,</w:t>
      </w:r>
      <w:r w:rsidRPr="002F2FA0">
        <w:rPr>
          <w:rFonts w:cstheme="minorHAnsi"/>
          <w:b/>
          <w:bCs/>
          <w:sz w:val="28"/>
          <w:szCs w:val="28"/>
        </w:rPr>
        <w:t xml:space="preserve"> de baisse de qualité de service, d’ultra spécialisation démotivante et synonyme de perte d’emplois.</w:t>
      </w:r>
    </w:p>
    <w:p w:rsidR="003C1343" w:rsidRPr="002F2FA0" w:rsidRDefault="003C1343" w:rsidP="00F1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16"/>
          <w:szCs w:val="16"/>
        </w:rPr>
      </w:pPr>
    </w:p>
    <w:p w:rsidR="003C1343" w:rsidRPr="00F179EC" w:rsidRDefault="00EC4E67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F2FA0">
        <w:rPr>
          <w:rFonts w:cstheme="minorHAnsi"/>
          <w:b/>
          <w:bCs/>
          <w:sz w:val="28"/>
          <w:szCs w:val="28"/>
        </w:rPr>
        <w:t>D’autres solutions, déjà avancées par les représentants du personnel, sont à étudier. La recherche d’efficacité ne doit pas se faire au détriment des conditions de travail des salariés.</w:t>
      </w:r>
      <w:r w:rsidR="002F2FA0">
        <w:rPr>
          <w:rFonts w:cstheme="minorHAnsi"/>
          <w:b/>
          <w:bCs/>
          <w:sz w:val="28"/>
          <w:szCs w:val="28"/>
        </w:rPr>
        <w:t xml:space="preserve"> </w:t>
      </w:r>
      <w:r w:rsidRPr="002F2FA0">
        <w:rPr>
          <w:rFonts w:cstheme="minorHAnsi"/>
          <w:b/>
          <w:bCs/>
          <w:sz w:val="28"/>
          <w:szCs w:val="28"/>
        </w:rPr>
        <w:t>Elle passe par plus de coopération, plus de transversalité, une meilleure répartition des taches de travail et une meilleure gestion des métiers et des compétences.</w:t>
      </w:r>
    </w:p>
    <w:sectPr w:rsidR="003C1343" w:rsidRPr="00F179EC" w:rsidSect="00B372DA">
      <w:footerReference w:type="default" r:id="rId11"/>
      <w:pgSz w:w="11906" w:h="16838"/>
      <w:pgMar w:top="1134" w:right="907" w:bottom="624" w:left="90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EA" w:rsidRDefault="000563EA" w:rsidP="00945C5F">
      <w:pPr>
        <w:spacing w:after="0" w:line="240" w:lineRule="auto"/>
      </w:pPr>
      <w:r>
        <w:separator/>
      </w:r>
    </w:p>
  </w:endnote>
  <w:endnote w:type="continuationSeparator" w:id="0">
    <w:p w:rsidR="000563EA" w:rsidRDefault="000563EA" w:rsidP="0094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98" w:rsidRPr="000D2B98" w:rsidRDefault="000D2B98">
    <w:pPr>
      <w:pStyle w:val="Pieddepage"/>
      <w:rPr>
        <w:sz w:val="20"/>
        <w:szCs w:val="20"/>
      </w:rPr>
    </w:pPr>
    <w:r w:rsidRPr="000D2B98">
      <w:rPr>
        <w:sz w:val="20"/>
        <w:szCs w:val="20"/>
      </w:rPr>
      <w:t>Coordination CGT du Groupe TOTAL – Tour Coupole – Bureau 04A01 – Tel. 0147446938 ou 0617825906 –</w:t>
    </w:r>
    <w:r>
      <w:rPr>
        <w:sz w:val="20"/>
        <w:szCs w:val="20"/>
      </w:rPr>
      <w:t xml:space="preserve"> </w:t>
    </w:r>
    <w:r w:rsidRPr="000D2B98">
      <w:rPr>
        <w:sz w:val="20"/>
        <w:szCs w:val="20"/>
      </w:rPr>
      <w:t>www.cgttotal.fr</w:t>
    </w:r>
  </w:p>
  <w:p w:rsidR="000D2B98" w:rsidRDefault="000D2B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EA" w:rsidRDefault="000563EA" w:rsidP="00945C5F">
      <w:pPr>
        <w:spacing w:after="0" w:line="240" w:lineRule="auto"/>
      </w:pPr>
      <w:r>
        <w:separator/>
      </w:r>
    </w:p>
  </w:footnote>
  <w:footnote w:type="continuationSeparator" w:id="0">
    <w:p w:rsidR="000563EA" w:rsidRDefault="000563EA" w:rsidP="0094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ACA"/>
    <w:multiLevelType w:val="hybridMultilevel"/>
    <w:tmpl w:val="E716B4FC"/>
    <w:lvl w:ilvl="0" w:tplc="AB2A17A4">
      <w:start w:val="187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446"/>
    <w:multiLevelType w:val="hybridMultilevel"/>
    <w:tmpl w:val="03CE2F50"/>
    <w:lvl w:ilvl="0" w:tplc="AB2A17A4">
      <w:start w:val="187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AE06FF"/>
    <w:multiLevelType w:val="hybridMultilevel"/>
    <w:tmpl w:val="BFF0DA92"/>
    <w:lvl w:ilvl="0" w:tplc="062C1F9A">
      <w:start w:val="18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6944"/>
    <w:multiLevelType w:val="hybridMultilevel"/>
    <w:tmpl w:val="FCAE2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6A"/>
    <w:rsid w:val="0000273D"/>
    <w:rsid w:val="00010F9F"/>
    <w:rsid w:val="000217D2"/>
    <w:rsid w:val="00033757"/>
    <w:rsid w:val="000563EA"/>
    <w:rsid w:val="00066ECF"/>
    <w:rsid w:val="000B477D"/>
    <w:rsid w:val="000B64A5"/>
    <w:rsid w:val="000C1B60"/>
    <w:rsid w:val="000D2B98"/>
    <w:rsid w:val="000E42B7"/>
    <w:rsid w:val="000E6B1C"/>
    <w:rsid w:val="001048C6"/>
    <w:rsid w:val="001868F6"/>
    <w:rsid w:val="001A226A"/>
    <w:rsid w:val="001C123E"/>
    <w:rsid w:val="001D0B57"/>
    <w:rsid w:val="00224A61"/>
    <w:rsid w:val="00256C25"/>
    <w:rsid w:val="002A0FA9"/>
    <w:rsid w:val="002F2FA0"/>
    <w:rsid w:val="00332DB9"/>
    <w:rsid w:val="00341FBF"/>
    <w:rsid w:val="003B3232"/>
    <w:rsid w:val="003C1343"/>
    <w:rsid w:val="003E6E47"/>
    <w:rsid w:val="0054361C"/>
    <w:rsid w:val="0058198D"/>
    <w:rsid w:val="00582C3A"/>
    <w:rsid w:val="005A4CE8"/>
    <w:rsid w:val="005B729E"/>
    <w:rsid w:val="005E01EF"/>
    <w:rsid w:val="005E0BD1"/>
    <w:rsid w:val="005F535C"/>
    <w:rsid w:val="0065231E"/>
    <w:rsid w:val="006665CC"/>
    <w:rsid w:val="00691FC9"/>
    <w:rsid w:val="00743F3E"/>
    <w:rsid w:val="00756E10"/>
    <w:rsid w:val="007A06AF"/>
    <w:rsid w:val="007C1C4F"/>
    <w:rsid w:val="007E1019"/>
    <w:rsid w:val="007E29DC"/>
    <w:rsid w:val="00857C01"/>
    <w:rsid w:val="00867A98"/>
    <w:rsid w:val="00881F77"/>
    <w:rsid w:val="00884F2C"/>
    <w:rsid w:val="008923E5"/>
    <w:rsid w:val="008A1C20"/>
    <w:rsid w:val="008B45BD"/>
    <w:rsid w:val="008E55CC"/>
    <w:rsid w:val="008F1D9E"/>
    <w:rsid w:val="00945C5F"/>
    <w:rsid w:val="009A3FCE"/>
    <w:rsid w:val="009C1C56"/>
    <w:rsid w:val="009C503E"/>
    <w:rsid w:val="00A350B1"/>
    <w:rsid w:val="00A47E97"/>
    <w:rsid w:val="00A56C23"/>
    <w:rsid w:val="00A619C4"/>
    <w:rsid w:val="00A61EC9"/>
    <w:rsid w:val="00A767A5"/>
    <w:rsid w:val="00AB35B5"/>
    <w:rsid w:val="00B11F66"/>
    <w:rsid w:val="00B372DA"/>
    <w:rsid w:val="00B4708B"/>
    <w:rsid w:val="00B5089C"/>
    <w:rsid w:val="00BF6083"/>
    <w:rsid w:val="00C0052F"/>
    <w:rsid w:val="00C07C2A"/>
    <w:rsid w:val="00C47241"/>
    <w:rsid w:val="00CE76C5"/>
    <w:rsid w:val="00D0393C"/>
    <w:rsid w:val="00D36F19"/>
    <w:rsid w:val="00D675D3"/>
    <w:rsid w:val="00DA3048"/>
    <w:rsid w:val="00DD56E2"/>
    <w:rsid w:val="00DF36C1"/>
    <w:rsid w:val="00DF7207"/>
    <w:rsid w:val="00E040B7"/>
    <w:rsid w:val="00E06151"/>
    <w:rsid w:val="00E511EE"/>
    <w:rsid w:val="00EA0191"/>
    <w:rsid w:val="00EB5039"/>
    <w:rsid w:val="00EC4E67"/>
    <w:rsid w:val="00F049D0"/>
    <w:rsid w:val="00F1060C"/>
    <w:rsid w:val="00F179EC"/>
    <w:rsid w:val="00F60ECB"/>
    <w:rsid w:val="00F74821"/>
    <w:rsid w:val="00FC7795"/>
    <w:rsid w:val="00FD4387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5C5F"/>
  </w:style>
  <w:style w:type="paragraph" w:styleId="Pieddepage">
    <w:name w:val="footer"/>
    <w:basedOn w:val="Normal"/>
    <w:link w:val="PieddepageCar"/>
    <w:uiPriority w:val="99"/>
    <w:unhideWhenUsed/>
    <w:rsid w:val="0094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5F"/>
  </w:style>
  <w:style w:type="paragraph" w:styleId="Textedebulles">
    <w:name w:val="Balloon Text"/>
    <w:basedOn w:val="Normal"/>
    <w:link w:val="TextedebullesCar"/>
    <w:uiPriority w:val="99"/>
    <w:semiHidden/>
    <w:unhideWhenUsed/>
    <w:rsid w:val="00E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2C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p.cgttota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J0068241</dc:creator>
  <cp:lastModifiedBy>J0020499</cp:lastModifiedBy>
  <cp:revision>2</cp:revision>
  <cp:lastPrinted>2016-04-22T11:41:00Z</cp:lastPrinted>
  <dcterms:created xsi:type="dcterms:W3CDTF">2016-06-17T07:50:00Z</dcterms:created>
  <dcterms:modified xsi:type="dcterms:W3CDTF">2016-06-17T07:50:00Z</dcterms:modified>
</cp:coreProperties>
</file>